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黑体"/>
          <w:sz w:val="32"/>
        </w:rPr>
      </w:pPr>
      <w:r>
        <w:rPr>
          <w:rFonts w:ascii="Times New Roman" w:hAnsi="Times New Roman" w:eastAsia="黑体"/>
          <w:sz w:val="32"/>
        </w:rPr>
        <w:t>附件</w:t>
      </w:r>
      <w:r>
        <w:rPr>
          <w:rFonts w:hint="eastAsia" w:ascii="Times New Roman" w:hAnsi="Times New Roman" w:eastAsia="黑体"/>
          <w:sz w:val="32"/>
        </w:rPr>
        <w:t>6</w:t>
      </w:r>
    </w:p>
    <w:p>
      <w:pPr>
        <w:spacing w:before="156" w:beforeLines="50" w:after="156" w:afterLines="50" w:line="300" w:lineRule="auto"/>
        <w:jc w:val="center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口腔黏膜刺激试验方法</w:t>
      </w:r>
    </w:p>
    <w:p>
      <w:pPr>
        <w:spacing w:before="156" w:beforeLines="50" w:after="156" w:afterLines="50" w:line="300" w:lineRule="auto"/>
        <w:jc w:val="center"/>
        <w:rPr>
          <w:rFonts w:ascii="Times New Roman" w:hAnsi="Times New Roman" w:eastAsia="黑体"/>
          <w:b w:val="0"/>
          <w:bCs w:val="0"/>
          <w:szCs w:val="21"/>
        </w:rPr>
      </w:pPr>
      <w:bookmarkStart w:id="0" w:name="OLE_LINK2"/>
      <w:r>
        <w:rPr>
          <w:rFonts w:ascii="Times New Roman" w:hAnsi="Times New Roman" w:eastAsia="黑体"/>
          <w:b w:val="0"/>
          <w:bCs w:val="0"/>
          <w:szCs w:val="21"/>
        </w:rPr>
        <w:t>Oral mucous irritation test</w:t>
      </w:r>
      <w:bookmarkEnd w:id="0"/>
    </w:p>
    <w:p>
      <w:pPr>
        <w:spacing w:before="156" w:beforeLines="50" w:after="156" w:afterLines="50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 xml:space="preserve">1 范围 </w:t>
      </w:r>
    </w:p>
    <w:p>
      <w:pPr>
        <w:spacing w:line="300" w:lineRule="auto"/>
        <w:ind w:firstLine="420" w:firstLineChars="200"/>
        <w:rPr>
          <w:rFonts w:ascii="Times New Roman" w:hAnsi="Times New Roman" w:eastAsia="黑体"/>
        </w:rPr>
      </w:pPr>
      <w:r>
        <w:rPr>
          <w:rFonts w:ascii="Times New Roman" w:hAnsi="Times New Roman"/>
        </w:rPr>
        <w:t>本方法适用于评价牙膏对口腔黏膜组织潜在的刺激作用。</w:t>
      </w:r>
    </w:p>
    <w:p>
      <w:pPr>
        <w:spacing w:before="156" w:beforeLines="50" w:after="156" w:afterLines="50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2 试验目的</w:t>
      </w:r>
    </w:p>
    <w:p>
      <w:pPr>
        <w:spacing w:line="30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确定</w: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</w:rPr>
        <w:t>评价牙膏对动物口腔黏膜组织是否有刺激作用及其程度。</w:t>
      </w:r>
    </w:p>
    <w:p>
      <w:pPr>
        <w:spacing w:before="156" w:beforeLines="50" w:after="156" w:afterLines="50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3 定义</w:t>
      </w:r>
    </w:p>
    <w:p>
      <w:pPr>
        <w:spacing w:line="30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口腔黏膜</w:t>
      </w:r>
      <w:bookmarkStart w:id="1" w:name="OLE_LINK1"/>
      <w:r>
        <w:rPr>
          <w:rFonts w:ascii="Times New Roman" w:hAnsi="Times New Roman"/>
        </w:rPr>
        <w:t>刺激</w:t>
      </w:r>
      <w:bookmarkEnd w:id="1"/>
      <w:r>
        <w:rPr>
          <w:rFonts w:hint="eastAsia" w:ascii="Times New Roman" w:hAnsi="Times New Roman"/>
        </w:rPr>
        <w:t xml:space="preserve"> o</w:t>
      </w:r>
      <w:r>
        <w:rPr>
          <w:rFonts w:ascii="Times New Roman" w:hAnsi="Times New Roman"/>
        </w:rPr>
        <w:t>ral mucosa irritation</w:t>
      </w:r>
    </w:p>
    <w:p>
      <w:pPr>
        <w:spacing w:line="30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口腔黏膜组织接触受试</w:t>
      </w:r>
      <w:r>
        <w:rPr>
          <w:rFonts w:hint="eastAsia" w:ascii="Times New Roman" w:hAnsi="Times New Roman"/>
        </w:rPr>
        <w:t>物</w:t>
      </w:r>
      <w:r>
        <w:rPr>
          <w:rFonts w:ascii="Times New Roman" w:hAnsi="Times New Roman"/>
        </w:rPr>
        <w:t>后所产生的水肿、炎性变化及组织损伤等反应。</w:t>
      </w:r>
    </w:p>
    <w:p>
      <w:pPr>
        <w:spacing w:before="156" w:beforeLines="50" w:after="156" w:afterLines="50" w:line="300" w:lineRule="auto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4 试验的基本原则</w:t>
      </w:r>
    </w:p>
    <w:p>
      <w:pPr>
        <w:spacing w:line="30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将受试</w:t>
      </w:r>
      <w:r>
        <w:rPr>
          <w:rFonts w:hint="eastAsia" w:ascii="Times New Roman" w:hAnsi="Times New Roman"/>
        </w:rPr>
        <w:t>物</w:t>
      </w:r>
      <w:r>
        <w:rPr>
          <w:rFonts w:ascii="Times New Roman" w:hAnsi="Times New Roman"/>
        </w:rPr>
        <w:t>置于受试动物的一侧颊囊内，对照</w:t>
      </w:r>
      <w:r>
        <w:rPr>
          <w:rFonts w:hint="eastAsia" w:ascii="Times New Roman" w:hAnsi="Times New Roman"/>
        </w:rPr>
        <w:t>物</w:t>
      </w:r>
      <w:r>
        <w:rPr>
          <w:rFonts w:ascii="Times New Roman" w:hAnsi="Times New Roman"/>
        </w:rPr>
        <w:t>置于另一侧颊囊内，在规定的时间间隔内多次接触，肉眼观察并记录动物颊囊接触部位的刺激程度，并于末次接触后24小时取材进行组织学评价。</w:t>
      </w:r>
    </w:p>
    <w:p>
      <w:pPr>
        <w:spacing w:before="156" w:beforeLines="50" w:after="156" w:afterLines="50" w:line="300" w:lineRule="auto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5 试验方法</w:t>
      </w:r>
    </w:p>
    <w:p>
      <w:pPr>
        <w:spacing w:line="300" w:lineRule="auto"/>
        <w:rPr>
          <w:rFonts w:ascii="Times New Roman" w:hAnsi="Times New Roman"/>
        </w:rPr>
      </w:pPr>
      <w:r>
        <w:rPr>
          <w:rFonts w:ascii="Times New Roman" w:hAnsi="Times New Roman"/>
        </w:rPr>
        <w:t>5.1 试样</w:t>
      </w:r>
    </w:p>
    <w:p>
      <w:pPr>
        <w:spacing w:line="300" w:lineRule="auto"/>
        <w:rPr>
          <w:rFonts w:ascii="Times New Roman" w:hAnsi="Times New Roman"/>
        </w:rPr>
      </w:pPr>
      <w:r>
        <w:rPr>
          <w:rFonts w:ascii="Times New Roman" w:hAnsi="Times New Roman"/>
        </w:rPr>
        <w:t>5.1.1 受试</w:t>
      </w:r>
      <w:r>
        <w:rPr>
          <w:rFonts w:hint="eastAsia" w:ascii="Times New Roman" w:hAnsi="Times New Roman"/>
        </w:rPr>
        <w:t>物</w:t>
      </w:r>
      <w:r>
        <w:rPr>
          <w:rFonts w:ascii="Times New Roman" w:hAnsi="Times New Roman"/>
        </w:rPr>
        <w:t>：受试</w:t>
      </w:r>
      <w:r>
        <w:rPr>
          <w:rFonts w:hint="eastAsia" w:ascii="Times New Roman" w:hAnsi="Times New Roman"/>
        </w:rPr>
        <w:t>物</w:t>
      </w:r>
      <w:r>
        <w:rPr>
          <w:rFonts w:ascii="Times New Roman" w:hAnsi="Times New Roman"/>
        </w:rPr>
        <w:t>直接使用，单次放置量为0.4 g或0.4 mL。</w:t>
      </w:r>
    </w:p>
    <w:p>
      <w:pPr>
        <w:spacing w:line="300" w:lineRule="auto"/>
        <w:rPr>
          <w:rFonts w:ascii="Times New Roman" w:hAnsi="Times New Roman"/>
        </w:rPr>
      </w:pPr>
      <w:r>
        <w:rPr>
          <w:rFonts w:ascii="Times New Roman" w:hAnsi="Times New Roman"/>
        </w:rPr>
        <w:t>5.1.2 对照</w:t>
      </w:r>
      <w:r>
        <w:rPr>
          <w:rFonts w:hint="eastAsia" w:ascii="Times New Roman" w:hAnsi="Times New Roman"/>
        </w:rPr>
        <w:t>物</w:t>
      </w:r>
      <w:r>
        <w:rPr>
          <w:rFonts w:ascii="Times New Roman" w:hAnsi="Times New Roman"/>
        </w:rPr>
        <w:t>：0.9%氯化钠注射液（生理盐水），用量同受试</w:t>
      </w:r>
      <w:r>
        <w:rPr>
          <w:rFonts w:hint="eastAsia" w:ascii="Times New Roman" w:hAnsi="Times New Roman"/>
        </w:rPr>
        <w:t>物</w:t>
      </w:r>
      <w:r>
        <w:rPr>
          <w:rFonts w:ascii="Times New Roman" w:hAnsi="Times New Roman"/>
        </w:rPr>
        <w:t>，直接使用。</w:t>
      </w:r>
    </w:p>
    <w:p>
      <w:pPr>
        <w:spacing w:line="300" w:lineRule="auto"/>
        <w:rPr>
          <w:rFonts w:ascii="Times New Roman" w:hAnsi="Times New Roman"/>
        </w:rPr>
      </w:pPr>
      <w:r>
        <w:rPr>
          <w:rFonts w:ascii="Times New Roman" w:hAnsi="Times New Roman"/>
        </w:rPr>
        <w:t>5.2 实验动物和饲养环境</w:t>
      </w:r>
    </w:p>
    <w:p>
      <w:pPr>
        <w:spacing w:line="300" w:lineRule="auto"/>
        <w:rPr>
          <w:rFonts w:ascii="Times New Roman" w:hAnsi="Times New Roman"/>
        </w:rPr>
      </w:pPr>
      <w:r>
        <w:rPr>
          <w:rFonts w:ascii="Times New Roman" w:hAnsi="Times New Roman"/>
        </w:rPr>
        <w:t>5.2.1 健康的SPF级金黄地鼠（拉丁学名：</w:t>
      </w:r>
      <w:r>
        <w:rPr>
          <w:rFonts w:ascii="Times New Roman" w:hAnsi="Times New Roman" w:eastAsia="黑体"/>
          <w:szCs w:val="32"/>
        </w:rPr>
        <w:t>Mesocricetus auratus</w:t>
      </w:r>
      <w:r>
        <w:rPr>
          <w:rFonts w:ascii="Times New Roman" w:hAnsi="Times New Roman" w:eastAsia="黑体"/>
          <w:sz w:val="24"/>
          <w:szCs w:val="21"/>
        </w:rPr>
        <w:t>）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6 ~8周龄。同一品系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雌雄不限，雌性动物应</w:t>
      </w:r>
      <w:r>
        <w:rPr>
          <w:rFonts w:hint="eastAsia" w:ascii="Times New Roman" w:hAnsi="Times New Roman"/>
        </w:rPr>
        <w:t>未</w:t>
      </w:r>
      <w:r>
        <w:rPr>
          <w:rFonts w:ascii="Times New Roman" w:hAnsi="Times New Roman"/>
        </w:rPr>
        <w:t>孕。</w:t>
      </w:r>
    </w:p>
    <w:p>
      <w:pPr>
        <w:spacing w:line="30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5.2.2 </w:t>
      </w:r>
      <w:r>
        <w:rPr>
          <w:rFonts w:hint="eastAsia" w:ascii="Times New Roman" w:hAnsi="Times New Roman"/>
        </w:rPr>
        <w:t>至少使用</w:t>
      </w:r>
      <w:r>
        <w:rPr>
          <w:rFonts w:ascii="Times New Roman" w:hAnsi="Times New Roman"/>
        </w:rPr>
        <w:t>3只动物。</w:t>
      </w:r>
    </w:p>
    <w:p>
      <w:pPr>
        <w:spacing w:line="300" w:lineRule="auto"/>
        <w:rPr>
          <w:rFonts w:ascii="Times New Roman" w:hAnsi="Times New Roman"/>
        </w:rPr>
      </w:pPr>
      <w:r>
        <w:rPr>
          <w:rFonts w:ascii="Times New Roman" w:hAnsi="Times New Roman"/>
        </w:rPr>
        <w:t>5.2.3 试验前动物应在实验动物房环境内至少适应3天。实验动物及实验动物房应符合国家相关规定。选用标准配合饲料，饮水不限制。</w:t>
      </w:r>
    </w:p>
    <w:p>
      <w:pPr>
        <w:spacing w:line="300" w:lineRule="auto"/>
        <w:rPr>
          <w:rFonts w:ascii="Times New Roman" w:hAnsi="Times New Roman"/>
        </w:rPr>
      </w:pPr>
      <w:r>
        <w:rPr>
          <w:rFonts w:ascii="Times New Roman" w:hAnsi="Times New Roman"/>
        </w:rPr>
        <w:t>5.3 试验步骤</w:t>
      </w:r>
    </w:p>
    <w:p>
      <w:pPr>
        <w:spacing w:line="300" w:lineRule="auto"/>
        <w:rPr>
          <w:rFonts w:ascii="Times New Roman" w:hAnsi="Times New Roman"/>
        </w:rPr>
      </w:pPr>
      <w:r>
        <w:rPr>
          <w:rFonts w:ascii="Times New Roman" w:hAnsi="Times New Roman"/>
        </w:rPr>
        <w:t>5.3.1 动物准备与麻醉</w:t>
      </w:r>
    </w:p>
    <w:p>
      <w:pPr>
        <w:spacing w:line="30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用适当的麻醉剂麻醉动物，检查动物双侧颊囊有无异常（剔除颊囊黏膜异常的动物）。翻转动物颊囊用生理盐水或蒸馏水清洗干净后进行试验。</w:t>
      </w:r>
    </w:p>
    <w:p>
      <w:pPr>
        <w:spacing w:line="300" w:lineRule="auto"/>
        <w:rPr>
          <w:rFonts w:ascii="Times New Roman" w:hAnsi="Times New Roman"/>
        </w:rPr>
      </w:pPr>
      <w:r>
        <w:rPr>
          <w:rFonts w:ascii="Times New Roman" w:hAnsi="Times New Roman"/>
        </w:rPr>
        <w:t>5.3.2 试样接触</w:t>
      </w:r>
    </w:p>
    <w:p>
      <w:pPr>
        <w:spacing w:line="300" w:lineRule="auto"/>
        <w:rPr>
          <w:rFonts w:ascii="Times New Roman" w:hAnsi="Times New Roman"/>
        </w:rPr>
      </w:pPr>
      <w:r>
        <w:rPr>
          <w:rFonts w:ascii="Times New Roman" w:hAnsi="Times New Roman"/>
        </w:rPr>
        <w:t>5.3.2.1 将受试</w:t>
      </w:r>
      <w:r>
        <w:rPr>
          <w:rFonts w:hint="eastAsia" w:ascii="Times New Roman" w:hAnsi="Times New Roman"/>
        </w:rPr>
        <w:t>物</w:t>
      </w:r>
      <w:r>
        <w:rPr>
          <w:rFonts w:ascii="Times New Roman" w:hAnsi="Times New Roman"/>
        </w:rPr>
        <w:t>置于动物一侧颊囊底部，对照</w:t>
      </w:r>
      <w:r>
        <w:rPr>
          <w:rFonts w:hint="eastAsia" w:ascii="Times New Roman" w:hAnsi="Times New Roman"/>
        </w:rPr>
        <w:t>物</w:t>
      </w:r>
      <w:r>
        <w:rPr>
          <w:rFonts w:ascii="Times New Roman" w:hAnsi="Times New Roman"/>
        </w:rPr>
        <w:t>置于另一侧颊囊底部。试样与黏膜接触5 min，接触时间结束后将颊囊翻出，去除试样，用生理盐水或蒸馏水清洗接触部位，清洗时间</w:t>
      </w:r>
      <w:r>
        <w:rPr>
          <w:rFonts w:hint="eastAsia" w:ascii="Times New Roman" w:hAnsi="Times New Roman"/>
        </w:rPr>
        <w:t>一般</w:t>
      </w:r>
      <w:r>
        <w:rPr>
          <w:rFonts w:ascii="Times New Roman" w:hAnsi="Times New Roman"/>
        </w:rPr>
        <w:t>为1 min~2 min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直至将试样完全清除。重复上述操作4次，每次操作间隔1 h（含接触与清洗时间）。每次重复放置试样前肉眼检查颊囊，并记录异常情况。末次接触后</w:t>
      </w:r>
      <w:r>
        <w:rPr>
          <w:rFonts w:hint="eastAsia" w:ascii="Times New Roman" w:hAnsi="Times New Roman"/>
        </w:rPr>
        <w:t>的</w:t>
      </w:r>
      <w:r>
        <w:rPr>
          <w:rFonts w:ascii="Times New Roman" w:hAnsi="Times New Roman"/>
        </w:rPr>
        <w:t>24 h肉眼观察颊囊并取与试样接触的颊囊组织进行组织学评价</w:t>
      </w:r>
      <w:r>
        <w:rPr>
          <w:rFonts w:hint="eastAsia"/>
        </w:rPr>
        <w:t>。</w:t>
      </w:r>
    </w:p>
    <w:p>
      <w:pPr>
        <w:spacing w:line="300" w:lineRule="auto"/>
        <w:rPr>
          <w:rFonts w:ascii="Times New Roman" w:hAnsi="Times New Roman"/>
        </w:rPr>
      </w:pPr>
      <w:r>
        <w:rPr>
          <w:rFonts w:ascii="Times New Roman" w:hAnsi="Times New Roman"/>
        </w:rPr>
        <w:t>5.3.2.2 在5.3.2.1试验过程中，根据表1判定肉眼观察结果。在试验周期内的任意时间点，3只动物中如有1只及以上出现重度水肿、红斑、糜烂或溃疡现象，可直接判定为重度口腔黏膜刺激反应，无需再进行组织学评价。</w:t>
      </w:r>
    </w:p>
    <w:p>
      <w:pPr>
        <w:spacing w:line="300" w:lineRule="auto"/>
        <w:rPr>
          <w:rFonts w:ascii="Times New Roman" w:hAnsi="Times New Roman"/>
        </w:rPr>
      </w:pPr>
      <w:r>
        <w:rPr>
          <w:rFonts w:ascii="Times New Roman" w:hAnsi="Times New Roman"/>
        </w:rPr>
        <w:t>5.4 结果观察</w:t>
      </w:r>
    </w:p>
    <w:p>
      <w:pPr>
        <w:spacing w:line="300" w:lineRule="auto"/>
        <w:rPr>
          <w:rFonts w:ascii="Times New Roman" w:hAnsi="Times New Roman"/>
        </w:rPr>
      </w:pPr>
      <w:r>
        <w:rPr>
          <w:rFonts w:ascii="Times New Roman" w:hAnsi="Times New Roman"/>
        </w:rPr>
        <w:t>5.4.1临床观察</w:t>
      </w:r>
    </w:p>
    <w:p>
      <w:pPr>
        <w:spacing w:line="300" w:lineRule="auto"/>
        <w:rPr>
          <w:rFonts w:ascii="Times New Roman" w:hAnsi="Times New Roman"/>
        </w:rPr>
      </w:pPr>
      <w:r>
        <w:rPr>
          <w:rFonts w:ascii="Times New Roman" w:hAnsi="Times New Roman"/>
        </w:rPr>
        <w:t>5.4.1.1 试验期间观察动物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记录异常表现，包括局部、全身及异常行为等。</w:t>
      </w:r>
    </w:p>
    <w:p>
      <w:pPr>
        <w:spacing w:line="300" w:lineRule="auto"/>
        <w:rPr>
          <w:rFonts w:ascii="Times New Roman" w:hAnsi="Times New Roman"/>
        </w:rPr>
      </w:pPr>
      <w:r>
        <w:rPr>
          <w:rFonts w:ascii="Times New Roman" w:hAnsi="Times New Roman"/>
        </w:rPr>
        <w:t>5.4.1.2 肉眼观察试验部位，</w:t>
      </w:r>
      <w:r>
        <w:rPr>
          <w:rFonts w:hint="eastAsia" w:ascii="Times New Roman" w:hAnsi="Times New Roman"/>
        </w:rPr>
        <w:t>根据表</w:t>
      </w:r>
      <w:r>
        <w:rPr>
          <w:rFonts w:ascii="Times New Roman" w:hAnsi="Times New Roman"/>
        </w:rPr>
        <w:t>1判定有无红斑、水肿、糜烂及溃疡等情况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并比较同一动物的试验侧颊囊和对照侧颊囊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记录每侧颊囊的状况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注意试验侧与对照侧的差异。</w:t>
      </w:r>
    </w:p>
    <w:p>
      <w:pPr>
        <w:spacing w:before="156" w:beforeLines="50" w:after="156" w:afterLines="50" w:line="30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</w:t>
      </w:r>
      <w:r>
        <w:rPr>
          <w:rFonts w:ascii="Times New Roman" w:hAnsi="Times New Roman" w:eastAsia="黑体"/>
        </w:rPr>
        <w:t>表</w:t>
      </w:r>
      <w:r>
        <w:rPr>
          <w:rFonts w:hint="eastAsia" w:ascii="Times New Roman" w:hAnsi="Times New Roman" w:eastAsia="黑体"/>
        </w:rPr>
        <w:t xml:space="preserve">1  </w:t>
      </w:r>
      <w:r>
        <w:rPr>
          <w:rFonts w:ascii="Times New Roman" w:hAnsi="Times New Roman" w:eastAsia="黑体"/>
        </w:rPr>
        <w:t>口腔黏膜临床观察评价表</w:t>
      </w:r>
    </w:p>
    <w:tbl>
      <w:tblPr>
        <w:tblStyle w:val="7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9"/>
        <w:gridCol w:w="19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467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临床表现</w:t>
            </w:r>
          </w:p>
        </w:tc>
        <w:tc>
          <w:tcPr>
            <w:tcW w:w="19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反应程度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4679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红斑</w:t>
            </w:r>
          </w:p>
          <w:p>
            <w:pPr>
              <w:spacing w:line="300" w:lineRule="auto"/>
              <w:ind w:firstLine="210" w:firstLineChars="1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无红斑</w:t>
            </w:r>
          </w:p>
        </w:tc>
        <w:tc>
          <w:tcPr>
            <w:tcW w:w="1957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</w:p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4679" w:type="dxa"/>
            <w:vAlign w:val="center"/>
          </w:tcPr>
          <w:p>
            <w:pPr>
              <w:spacing w:line="300" w:lineRule="auto"/>
              <w:ind w:firstLine="210" w:firstLineChars="1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极轻微红斑（勉强可见）</w:t>
            </w:r>
          </w:p>
        </w:tc>
        <w:tc>
          <w:tcPr>
            <w:tcW w:w="1957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极轻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4679" w:type="dxa"/>
            <w:vAlign w:val="center"/>
          </w:tcPr>
          <w:p>
            <w:pPr>
              <w:spacing w:line="300" w:lineRule="auto"/>
              <w:ind w:firstLine="210" w:firstLineChars="1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清晰红斑</w:t>
            </w:r>
          </w:p>
        </w:tc>
        <w:tc>
          <w:tcPr>
            <w:tcW w:w="1957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轻度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4679" w:type="dxa"/>
            <w:vAlign w:val="center"/>
          </w:tcPr>
          <w:p>
            <w:pPr>
              <w:spacing w:line="300" w:lineRule="auto"/>
              <w:ind w:firstLine="210" w:firstLineChars="1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中度红斑</w:t>
            </w:r>
          </w:p>
        </w:tc>
        <w:tc>
          <w:tcPr>
            <w:tcW w:w="1957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中度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4679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ind w:firstLine="210" w:firstLineChars="1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重度红斑（紫红色）至焦痂形成、糜烂、溃疡</w:t>
            </w:r>
          </w:p>
        </w:tc>
        <w:tc>
          <w:tcPr>
            <w:tcW w:w="1957" w:type="dxa"/>
            <w:tcBorders>
              <w:bottom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重度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679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auto"/>
              <w:jc w:val="left"/>
              <w:rPr>
                <w:rFonts w:ascii="Times New Roman" w:hAnsi="Times New Roman"/>
                <w:b/>
                <w:bCs/>
              </w:rPr>
            </w:pPr>
            <w:r>
              <w:rPr>
                <w:rFonts w:hint="eastAsia" w:ascii="Times New Roman" w:hAnsi="Times New Roman"/>
              </w:rPr>
              <w:t>水肿</w:t>
            </w:r>
          </w:p>
          <w:p>
            <w:pPr>
              <w:spacing w:line="300" w:lineRule="auto"/>
              <w:ind w:firstLine="210" w:firstLineChars="1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无水肿</w:t>
            </w:r>
          </w:p>
        </w:tc>
        <w:tc>
          <w:tcPr>
            <w:tcW w:w="1957" w:type="dxa"/>
            <w:tcBorders>
              <w:top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</w:p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4679" w:type="dxa"/>
            <w:vAlign w:val="center"/>
          </w:tcPr>
          <w:p>
            <w:pPr>
              <w:spacing w:line="300" w:lineRule="auto"/>
              <w:ind w:firstLine="210" w:firstLineChars="1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极轻微水肿（勉强可见）</w:t>
            </w:r>
          </w:p>
        </w:tc>
        <w:tc>
          <w:tcPr>
            <w:tcW w:w="1957" w:type="dxa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极轻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4679" w:type="dxa"/>
            <w:vAlign w:val="center"/>
          </w:tcPr>
          <w:p>
            <w:pPr>
              <w:spacing w:line="300" w:lineRule="auto"/>
              <w:ind w:firstLine="210" w:firstLineChars="1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清晰水肿（肿起边缘清晰）</w:t>
            </w:r>
          </w:p>
        </w:tc>
        <w:tc>
          <w:tcPr>
            <w:tcW w:w="1957" w:type="dxa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轻度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4679" w:type="dxa"/>
            <w:vAlign w:val="center"/>
          </w:tcPr>
          <w:p>
            <w:pPr>
              <w:spacing w:line="300" w:lineRule="auto"/>
              <w:ind w:firstLine="210" w:firstLineChars="1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中度水肿（肿起约1 mm）</w:t>
            </w:r>
          </w:p>
        </w:tc>
        <w:tc>
          <w:tcPr>
            <w:tcW w:w="1957" w:type="dxa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中度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4679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ind w:firstLine="210" w:firstLineChars="1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重度水肿（肿起超过1 mm，并超出接触区）</w:t>
            </w:r>
          </w:p>
        </w:tc>
        <w:tc>
          <w:tcPr>
            <w:tcW w:w="1957" w:type="dxa"/>
            <w:tcBorders>
              <w:bottom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重度</w:t>
            </w:r>
          </w:p>
        </w:tc>
      </w:tr>
    </w:tbl>
    <w:p>
      <w:pPr>
        <w:spacing w:line="300" w:lineRule="auto"/>
        <w:rPr>
          <w:rFonts w:ascii="Times New Roman" w:hAnsi="Times New Roman"/>
        </w:rPr>
      </w:pPr>
      <w:r>
        <w:rPr>
          <w:rFonts w:ascii="Times New Roman" w:hAnsi="Times New Roman"/>
        </w:rPr>
        <w:t>5.4.2 组织学观察</w:t>
      </w:r>
    </w:p>
    <w:p>
      <w:pPr>
        <w:spacing w:line="300" w:lineRule="auto"/>
        <w:rPr>
          <w:rFonts w:ascii="Times New Roman" w:hAnsi="Times New Roman"/>
        </w:rPr>
      </w:pPr>
      <w:r>
        <w:rPr>
          <w:rFonts w:ascii="Times New Roman" w:hAnsi="Times New Roman"/>
        </w:rPr>
        <w:t>5.4.2.1 组织切片制作</w:t>
      </w:r>
    </w:p>
    <w:p>
      <w:pPr>
        <w:spacing w:line="30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末次接触后24 </w:t>
      </w:r>
      <w:r>
        <w:rPr>
          <w:rFonts w:hint="eastAsia" w:ascii="Times New Roman" w:hAnsi="Times New Roman"/>
        </w:rPr>
        <w:t>h</w:t>
      </w:r>
      <w:r>
        <w:rPr>
          <w:rFonts w:ascii="Times New Roman" w:hAnsi="Times New Roman"/>
        </w:rPr>
        <w:t>，取试样接触部位的颊囊，10%</w:t>
      </w:r>
      <w:r>
        <w:rPr>
          <w:rFonts w:hint="eastAsia" w:ascii="Times New Roman" w:hAnsi="Times New Roman"/>
        </w:rPr>
        <w:t>中性</w:t>
      </w:r>
      <w:r>
        <w:rPr>
          <w:rFonts w:ascii="Times New Roman" w:hAnsi="Times New Roman"/>
        </w:rPr>
        <w:t>福尔马林</w:t>
      </w:r>
      <w:r>
        <w:rPr>
          <w:rFonts w:hint="eastAsia" w:ascii="Times New Roman" w:hAnsi="Times New Roman"/>
        </w:rPr>
        <w:t>缓冲液</w:t>
      </w:r>
      <w:r>
        <w:rPr>
          <w:rFonts w:ascii="Times New Roman" w:hAnsi="Times New Roman"/>
        </w:rPr>
        <w:t>固定，常规石蜡包埋，半连续切片，间隔取片5张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H-E染色。</w:t>
      </w:r>
    </w:p>
    <w:p>
      <w:pPr>
        <w:spacing w:line="300" w:lineRule="auto"/>
        <w:rPr>
          <w:rFonts w:ascii="Times New Roman" w:hAnsi="Times New Roman"/>
        </w:rPr>
      </w:pPr>
      <w:r>
        <w:rPr>
          <w:rFonts w:ascii="Times New Roman" w:hAnsi="Times New Roman"/>
        </w:rPr>
        <w:t>5.4.2.2 组织学观察及记分</w:t>
      </w:r>
    </w:p>
    <w:p>
      <w:pPr>
        <w:spacing w:line="30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对黏膜组织进行组织</w:t>
      </w:r>
      <w:r>
        <w:rPr>
          <w:rFonts w:hint="eastAsia" w:ascii="Times New Roman" w:hAnsi="Times New Roman"/>
        </w:rPr>
        <w:t>病理</w:t>
      </w:r>
      <w:r>
        <w:rPr>
          <w:rFonts w:ascii="Times New Roman" w:hAnsi="Times New Roman"/>
        </w:rPr>
        <w:t>学</w:t>
      </w:r>
      <w:r>
        <w:rPr>
          <w:rFonts w:hint="eastAsia" w:ascii="Times New Roman" w:hAnsi="Times New Roman"/>
        </w:rPr>
        <w:t>观察，并</w:t>
      </w:r>
      <w:r>
        <w:rPr>
          <w:rFonts w:ascii="Times New Roman" w:hAnsi="Times New Roman"/>
        </w:rPr>
        <w:t>根据</w:t>
      </w:r>
      <w:r>
        <w:rPr>
          <w:rFonts w:hint="eastAsia" w:ascii="Times New Roman" w:hAnsi="Times New Roman"/>
        </w:rPr>
        <w:t>口腔黏膜组织反应</w:t>
      </w:r>
      <w:bookmarkStart w:id="2" w:name="_GoBack"/>
      <w:bookmarkEnd w:id="2"/>
      <w:r>
        <w:rPr>
          <w:rFonts w:hint="eastAsia" w:ascii="Times New Roman" w:hAnsi="Times New Roman"/>
          <w:lang w:eastAsia="zh-CN"/>
        </w:rPr>
        <w:t>记</w:t>
      </w:r>
      <w:r>
        <w:rPr>
          <w:rFonts w:hint="eastAsia" w:ascii="Times New Roman" w:hAnsi="Times New Roman"/>
        </w:rPr>
        <w:t>分表（表2）</w:t>
      </w:r>
      <w:r>
        <w:rPr>
          <w:rFonts w:ascii="Times New Roman" w:hAnsi="Times New Roman"/>
        </w:rPr>
        <w:t>计算每只动物</w:t>
      </w:r>
      <w:r>
        <w:rPr>
          <w:rFonts w:hint="eastAsia" w:ascii="Times New Roman" w:hAnsi="Times New Roman"/>
        </w:rPr>
        <w:t>得分</w:t>
      </w:r>
      <w:r>
        <w:rPr>
          <w:rFonts w:ascii="Times New Roman" w:hAnsi="Times New Roman"/>
        </w:rPr>
        <w:t>。</w:t>
      </w:r>
      <w:r>
        <w:rPr>
          <w:rFonts w:hint="eastAsia" w:ascii="Times New Roman" w:hAnsi="Times New Roman"/>
        </w:rPr>
        <w:t>其中白细胞浸润情况应至少在2</w:t>
      </w:r>
      <w:r>
        <w:rPr>
          <w:rFonts w:ascii="Times New Roman" w:hAnsi="Times New Roman"/>
        </w:rPr>
        <w:t>0</w:t>
      </w:r>
      <w:r>
        <w:rPr>
          <w:rFonts w:hint="eastAsia" w:ascii="Times New Roman" w:hAnsi="Times New Roman"/>
        </w:rPr>
        <w:t xml:space="preserve">倍物镜下选取3 </w:t>
      </w:r>
      <w:r>
        <w:rPr>
          <w:rFonts w:ascii="Times New Roman" w:hAnsi="Times New Roman"/>
        </w:rPr>
        <w:t>~5</w:t>
      </w:r>
      <w:r>
        <w:rPr>
          <w:rFonts w:hint="eastAsia" w:ascii="Times New Roman" w:hAnsi="Times New Roman"/>
        </w:rPr>
        <w:t>个有代表性的视野观察，每只动物的得分为所有观察视野的平均分。</w:t>
      </w:r>
      <w:r>
        <w:rPr>
          <w:rFonts w:ascii="Times New Roman" w:hAnsi="Times New Roman"/>
        </w:rPr>
        <w:t>将试验组中所有动物的组织反应记分相加之和，再除以试验动物总数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得出试验组平均记分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对照组同法计算。</w:t>
      </w:r>
    </w:p>
    <w:p>
      <w:pPr>
        <w:spacing w:before="156" w:beforeLines="50" w:after="156" w:afterLines="50" w:line="300" w:lineRule="auto"/>
        <w:ind w:firstLine="2835" w:firstLineChars="1350"/>
        <w:rPr>
          <w:rFonts w:ascii="Times New Roman" w:hAnsi="Times New Roman"/>
        </w:rPr>
      </w:pPr>
      <w:r>
        <w:rPr>
          <w:rFonts w:ascii="Times New Roman" w:hAnsi="Times New Roman" w:eastAsia="黑体"/>
        </w:rPr>
        <w:t>表2</w:t>
      </w:r>
      <w:r>
        <w:rPr>
          <w:rFonts w:hint="eastAsia" w:ascii="Times New Roman" w:hAnsi="Times New Roman" w:eastAsia="黑体"/>
        </w:rPr>
        <w:t xml:space="preserve">  </w:t>
      </w:r>
      <w:r>
        <w:rPr>
          <w:rFonts w:ascii="Times New Roman" w:hAnsi="Times New Roman" w:eastAsia="黑体"/>
        </w:rPr>
        <w:t>口腔黏膜组织反应记分表</w:t>
      </w:r>
    </w:p>
    <w:tbl>
      <w:tblPr>
        <w:tblStyle w:val="7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31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97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组织反应</w:t>
            </w:r>
          </w:p>
        </w:tc>
        <w:tc>
          <w:tcPr>
            <w:tcW w:w="311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记分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977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上皮</w:t>
            </w:r>
          </w:p>
        </w:tc>
        <w:tc>
          <w:tcPr>
            <w:tcW w:w="3119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977" w:type="dxa"/>
            <w:vAlign w:val="center"/>
          </w:tcPr>
          <w:p>
            <w:pPr>
              <w:spacing w:line="300" w:lineRule="auto"/>
              <w:ind w:firstLine="210" w:firstLineChars="1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正常，完好无损</w:t>
            </w:r>
          </w:p>
        </w:tc>
        <w:tc>
          <w:tcPr>
            <w:tcW w:w="3119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977" w:type="dxa"/>
            <w:vAlign w:val="center"/>
          </w:tcPr>
          <w:p>
            <w:pPr>
              <w:spacing w:line="300" w:lineRule="auto"/>
              <w:ind w:firstLine="210" w:firstLineChars="1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细胞变性或变扁平</w:t>
            </w:r>
          </w:p>
        </w:tc>
        <w:tc>
          <w:tcPr>
            <w:tcW w:w="3119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977" w:type="dxa"/>
            <w:vAlign w:val="center"/>
          </w:tcPr>
          <w:p>
            <w:pPr>
              <w:spacing w:line="300" w:lineRule="auto"/>
              <w:ind w:firstLine="210" w:firstLineChars="1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组织变形</w:t>
            </w:r>
          </w:p>
        </w:tc>
        <w:tc>
          <w:tcPr>
            <w:tcW w:w="3119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977" w:type="dxa"/>
            <w:vAlign w:val="center"/>
          </w:tcPr>
          <w:p>
            <w:pPr>
              <w:spacing w:line="300" w:lineRule="auto"/>
              <w:ind w:firstLine="210" w:firstLineChars="1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局部糜烂</w:t>
            </w:r>
          </w:p>
        </w:tc>
        <w:tc>
          <w:tcPr>
            <w:tcW w:w="3119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977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ind w:firstLine="210" w:firstLineChars="1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广泛糜烂</w:t>
            </w:r>
          </w:p>
        </w:tc>
        <w:tc>
          <w:tcPr>
            <w:tcW w:w="3119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609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00" w:lineRule="auto"/>
              <w:ind w:left="-105" w:leftChars="-50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白细胞浸润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977" w:type="dxa"/>
            <w:vAlign w:val="center"/>
          </w:tcPr>
          <w:p>
            <w:pPr>
              <w:spacing w:line="300" w:lineRule="auto"/>
              <w:ind w:firstLine="210" w:firstLineChars="1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无</w:t>
            </w:r>
          </w:p>
        </w:tc>
        <w:tc>
          <w:tcPr>
            <w:tcW w:w="3119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977" w:type="dxa"/>
            <w:vAlign w:val="center"/>
          </w:tcPr>
          <w:p>
            <w:pPr>
              <w:spacing w:line="300" w:lineRule="auto"/>
              <w:ind w:firstLine="210" w:firstLineChars="1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极少（少于25）</w:t>
            </w:r>
          </w:p>
        </w:tc>
        <w:tc>
          <w:tcPr>
            <w:tcW w:w="3119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977" w:type="dxa"/>
            <w:vAlign w:val="center"/>
          </w:tcPr>
          <w:p>
            <w:pPr>
              <w:spacing w:line="300" w:lineRule="auto"/>
              <w:ind w:firstLine="210" w:firstLineChars="1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轻度（26～50）</w:t>
            </w:r>
          </w:p>
        </w:tc>
        <w:tc>
          <w:tcPr>
            <w:tcW w:w="3119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977" w:type="dxa"/>
            <w:vAlign w:val="center"/>
          </w:tcPr>
          <w:p>
            <w:pPr>
              <w:spacing w:line="300" w:lineRule="auto"/>
              <w:ind w:firstLine="210" w:firstLineChars="1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中度（51～100）</w:t>
            </w:r>
          </w:p>
        </w:tc>
        <w:tc>
          <w:tcPr>
            <w:tcW w:w="3119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977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ind w:firstLine="210" w:firstLineChars="1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重度（大于100)</w:t>
            </w:r>
          </w:p>
        </w:tc>
        <w:tc>
          <w:tcPr>
            <w:tcW w:w="3119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977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血管充血</w:t>
            </w:r>
          </w:p>
        </w:tc>
        <w:tc>
          <w:tcPr>
            <w:tcW w:w="3119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977" w:type="dxa"/>
            <w:vAlign w:val="center"/>
          </w:tcPr>
          <w:p>
            <w:pPr>
              <w:spacing w:line="300" w:lineRule="auto"/>
              <w:ind w:firstLine="210" w:firstLineChars="1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无</w:t>
            </w:r>
          </w:p>
        </w:tc>
        <w:tc>
          <w:tcPr>
            <w:tcW w:w="3119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977" w:type="dxa"/>
            <w:vAlign w:val="center"/>
          </w:tcPr>
          <w:p>
            <w:pPr>
              <w:spacing w:line="300" w:lineRule="auto"/>
              <w:ind w:firstLine="210" w:firstLineChars="1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极少</w:t>
            </w:r>
          </w:p>
        </w:tc>
        <w:tc>
          <w:tcPr>
            <w:tcW w:w="3119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977" w:type="dxa"/>
            <w:vAlign w:val="center"/>
          </w:tcPr>
          <w:p>
            <w:pPr>
              <w:spacing w:line="300" w:lineRule="auto"/>
              <w:ind w:firstLine="210" w:firstLineChars="1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轻度</w:t>
            </w:r>
          </w:p>
        </w:tc>
        <w:tc>
          <w:tcPr>
            <w:tcW w:w="3119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977" w:type="dxa"/>
            <w:vAlign w:val="center"/>
          </w:tcPr>
          <w:p>
            <w:pPr>
              <w:spacing w:line="300" w:lineRule="auto"/>
              <w:ind w:firstLine="210" w:firstLineChars="1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中度</w:t>
            </w:r>
          </w:p>
        </w:tc>
        <w:tc>
          <w:tcPr>
            <w:tcW w:w="3119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977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ind w:firstLine="210" w:firstLineChars="1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重度伴血管破裂</w:t>
            </w:r>
          </w:p>
        </w:tc>
        <w:tc>
          <w:tcPr>
            <w:tcW w:w="3119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977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auto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水肿</w:t>
            </w:r>
          </w:p>
        </w:tc>
        <w:tc>
          <w:tcPr>
            <w:tcW w:w="3119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977" w:type="dxa"/>
            <w:vAlign w:val="center"/>
          </w:tcPr>
          <w:p>
            <w:pPr>
              <w:spacing w:line="300" w:lineRule="auto"/>
              <w:ind w:firstLine="210" w:firstLineChars="1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无</w:t>
            </w:r>
          </w:p>
        </w:tc>
        <w:tc>
          <w:tcPr>
            <w:tcW w:w="3119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977" w:type="dxa"/>
            <w:vAlign w:val="center"/>
          </w:tcPr>
          <w:p>
            <w:pPr>
              <w:spacing w:line="300" w:lineRule="auto"/>
              <w:ind w:firstLine="210" w:firstLineChars="1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极少</w:t>
            </w:r>
          </w:p>
        </w:tc>
        <w:tc>
          <w:tcPr>
            <w:tcW w:w="3119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977" w:type="dxa"/>
            <w:vAlign w:val="center"/>
          </w:tcPr>
          <w:p>
            <w:pPr>
              <w:spacing w:line="300" w:lineRule="auto"/>
              <w:ind w:firstLine="210" w:firstLineChars="1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轻度</w:t>
            </w:r>
          </w:p>
        </w:tc>
        <w:tc>
          <w:tcPr>
            <w:tcW w:w="3119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977" w:type="dxa"/>
            <w:vAlign w:val="center"/>
          </w:tcPr>
          <w:p>
            <w:pPr>
              <w:spacing w:line="300" w:lineRule="auto"/>
              <w:ind w:firstLine="210" w:firstLineChars="1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中度</w:t>
            </w:r>
          </w:p>
        </w:tc>
        <w:tc>
          <w:tcPr>
            <w:tcW w:w="3119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977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ind w:firstLine="210" w:firstLineChars="1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重度</w:t>
            </w:r>
          </w:p>
        </w:tc>
        <w:tc>
          <w:tcPr>
            <w:tcW w:w="3119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</w:tbl>
    <w:p>
      <w:pPr>
        <w:spacing w:before="156" w:beforeLines="50" w:after="156" w:afterLines="50" w:line="300" w:lineRule="auto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6 结果评价</w:t>
      </w:r>
    </w:p>
    <w:p>
      <w:pPr>
        <w:spacing w:line="300" w:lineRule="auto"/>
        <w:rPr>
          <w:rFonts w:ascii="Times New Roman" w:hAnsi="Times New Roman"/>
        </w:rPr>
      </w:pPr>
      <w:r>
        <w:rPr>
          <w:rFonts w:ascii="Times New Roman" w:hAnsi="Times New Roman"/>
        </w:rPr>
        <w:t>6.1 临床观察评价</w:t>
      </w:r>
    </w:p>
    <w:p>
      <w:pPr>
        <w:spacing w:line="30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在试验周期内的任意时间点，3只动物中如有1只及以上出现重度红斑、水肿、糜烂或溃疡现象，则可直接判定该受试</w:t>
      </w:r>
      <w:r>
        <w:rPr>
          <w:rFonts w:hint="eastAsia" w:ascii="Times New Roman" w:hAnsi="Times New Roman"/>
        </w:rPr>
        <w:t>物</w:t>
      </w:r>
      <w:r>
        <w:rPr>
          <w:rFonts w:ascii="Times New Roman" w:hAnsi="Times New Roman"/>
        </w:rPr>
        <w:t>为重度口腔黏膜刺激反应</w:t>
      </w:r>
      <w:r>
        <w:rPr>
          <w:rFonts w:hint="eastAsia" w:ascii="Times New Roman" w:hAnsi="Times New Roman"/>
        </w:rPr>
        <w:t>，其它情况以下述组织学评价为准。</w:t>
      </w:r>
    </w:p>
    <w:p>
      <w:pPr>
        <w:spacing w:line="300" w:lineRule="auto"/>
        <w:rPr>
          <w:rFonts w:ascii="Times New Roman" w:hAnsi="Times New Roman"/>
        </w:rPr>
      </w:pPr>
      <w:r>
        <w:rPr>
          <w:rFonts w:ascii="Times New Roman" w:hAnsi="Times New Roman"/>
        </w:rPr>
        <w:t>6.2 组织学评价</w:t>
      </w:r>
    </w:p>
    <w:p>
      <w:pPr>
        <w:spacing w:line="300" w:lineRule="auto"/>
        <w:rPr>
          <w:rFonts w:ascii="Times New Roman" w:hAnsi="Times New Roman"/>
        </w:rPr>
      </w:pPr>
      <w:r>
        <w:rPr>
          <w:rFonts w:ascii="Times New Roman" w:hAnsi="Times New Roman"/>
        </w:rPr>
        <w:t>6.2.1 若</w:t>
      </w:r>
      <w:r>
        <w:rPr>
          <w:rFonts w:hint="eastAsia" w:ascii="Times New Roman" w:hAnsi="Times New Roman"/>
        </w:rPr>
        <w:t>1只动物</w:t>
      </w:r>
      <w:r>
        <w:rPr>
          <w:rFonts w:ascii="Times New Roman" w:hAnsi="Times New Roman"/>
        </w:rPr>
        <w:t>对照侧颊囊组织学评价记分之和大于9时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则考虑认为是试验操作时造成的损伤，有必要进行重复试验。</w:t>
      </w:r>
    </w:p>
    <w:p>
      <w:pPr>
        <w:spacing w:line="300" w:lineRule="auto"/>
        <w:rPr>
          <w:rFonts w:ascii="Times New Roman" w:hAnsi="Times New Roman"/>
        </w:rPr>
      </w:pPr>
      <w:r>
        <w:rPr>
          <w:rFonts w:ascii="Times New Roman" w:hAnsi="Times New Roman"/>
        </w:rPr>
        <w:t>6.2.2 试验组平均记分减去对照组平均记分得出刺激指数，并根据表3对口腔黏膜组织反应程度进行分级。</w:t>
      </w:r>
    </w:p>
    <w:p>
      <w:pPr>
        <w:spacing w:line="300" w:lineRule="auto"/>
        <w:ind w:firstLine="2730" w:firstLineChars="1300"/>
        <w:rPr>
          <w:rFonts w:ascii="Times New Roman" w:hAnsi="Times New Roman"/>
        </w:rPr>
      </w:pPr>
      <w:r>
        <w:rPr>
          <w:rFonts w:ascii="Times New Roman" w:hAnsi="Times New Roman" w:eastAsia="黑体"/>
        </w:rPr>
        <w:t>表3</w:t>
      </w:r>
      <w:r>
        <w:rPr>
          <w:rFonts w:hint="eastAsia" w:ascii="Times New Roman" w:hAnsi="Times New Roman" w:eastAsia="黑体"/>
        </w:rPr>
        <w:t xml:space="preserve">  </w:t>
      </w:r>
      <w:r>
        <w:rPr>
          <w:rFonts w:ascii="Times New Roman" w:hAnsi="Times New Roman" w:eastAsia="黑体"/>
        </w:rPr>
        <w:t>口腔黏膜组织反应分级</w:t>
      </w:r>
    </w:p>
    <w:tbl>
      <w:tblPr>
        <w:tblStyle w:val="7"/>
        <w:tblW w:w="3481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8"/>
        <w:gridCol w:w="29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88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刺激指数（X）</w:t>
            </w:r>
          </w:p>
        </w:tc>
        <w:tc>
          <w:tcPr>
            <w:tcW w:w="288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反应程度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889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87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889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hint="eastAsia" w:ascii="Times New Roman" w:hAnsi="Times New Roman"/>
              </w:rPr>
              <w:t>＜</w:t>
            </w:r>
            <w:r>
              <w:rPr>
                <w:rFonts w:ascii="Times New Roman" w:hAnsi="Times New Roman"/>
              </w:rPr>
              <w:t>X</w:t>
            </w:r>
            <w:r>
              <w:rPr>
                <w:rFonts w:hint="eastAsia" w:ascii="Times New Roman" w:hAnsi="Times New Roman"/>
              </w:rPr>
              <w:t>≤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87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极轻</w:t>
            </w:r>
          </w:p>
        </w:tc>
      </w:tr>
      <w:tr>
        <w:trPr>
          <w:trHeight w:val="363" w:hRule="atLeast"/>
          <w:jc w:val="center"/>
        </w:trPr>
        <w:tc>
          <w:tcPr>
            <w:tcW w:w="2889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4＜X</w:t>
            </w:r>
            <w:r>
              <w:rPr>
                <w:rFonts w:hint="eastAsia" w:ascii="Times New Roman" w:hAnsi="Times New Roman"/>
              </w:rPr>
              <w:t>≤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887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轻度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889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8＜X</w:t>
            </w:r>
            <w:r>
              <w:rPr>
                <w:rFonts w:hint="eastAsia" w:ascii="Times New Roman" w:hAnsi="Times New Roman"/>
              </w:rPr>
              <w:t>≤</w:t>
            </w: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887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中度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889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11＜X</w:t>
            </w:r>
            <w:r>
              <w:rPr>
                <w:rFonts w:hint="eastAsia" w:ascii="Times New Roman" w:hAnsi="Times New Roman"/>
              </w:rPr>
              <w:t>≤</w:t>
            </w: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887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重度</w:t>
            </w:r>
          </w:p>
        </w:tc>
      </w:tr>
    </w:tbl>
    <w:p>
      <w:pPr>
        <w:spacing w:before="156" w:beforeLines="50" w:after="156" w:afterLines="50" w:line="300" w:lineRule="auto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7 结果判定</w:t>
      </w:r>
    </w:p>
    <w:p>
      <w:pPr>
        <w:spacing w:line="30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根据临床观察评价进行结果判定，临床观察为重度口腔黏膜刺激反应是不可接受的（见6.1）；依据6.2.2口腔黏膜组织反应分级，认为中度、重度口腔黏膜刺激反应是不可接受的。</w:t>
      </w:r>
    </w:p>
    <w:p>
      <w:pPr>
        <w:spacing w:before="156" w:beforeLines="50" w:after="156" w:afterLines="50" w:line="300" w:lineRule="auto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8 试验结果的解释</w:t>
      </w:r>
    </w:p>
    <w:p>
      <w:pPr>
        <w:spacing w:line="300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>本结果通过评估受试物对口腔黏膜的刺激性，旨在为理解其对人体的潜在影响提供了初步数据。鉴于动物与人类生理反应的差异，试验结果外推到人的可靠性有限，必要时建议在适当情况下进行临床验证。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3 of 9 Barcode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3 of 9 Barcode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M1w58KgIAAFU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gizZlnY6p3lEToq5u3qGCBgp2sUpVdi0ArT1nVmeBlxnP/cd1GPf4Pl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BYAAABk&#10;cnMvUEsBAhQAFAAAAAgAh07iQLNJWO7QAAAABQEAAA8AAAAAAAAAAQAgAAAAOAAAAGRycy9kb3du&#10;cmV2LnhtbFBLAQIUABQAAAAIAIdO4kCM1w58KgIAAFUEAAAOAAAAAAAAAAEAIAAAADUBAABkcnMv&#10;ZTJvRG9jLnhtbFBLBQYAAAAABgAGAFkBAADR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07B"/>
    <w:rsid w:val="000A2389"/>
    <w:rsid w:val="000A3617"/>
    <w:rsid w:val="000A7635"/>
    <w:rsid w:val="000B248B"/>
    <w:rsid w:val="000B39B9"/>
    <w:rsid w:val="001174D2"/>
    <w:rsid w:val="001218C1"/>
    <w:rsid w:val="00126D89"/>
    <w:rsid w:val="00132E2E"/>
    <w:rsid w:val="001419EC"/>
    <w:rsid w:val="001A11C4"/>
    <w:rsid w:val="001B3A98"/>
    <w:rsid w:val="001B607B"/>
    <w:rsid w:val="001D6B6D"/>
    <w:rsid w:val="002055DB"/>
    <w:rsid w:val="00242825"/>
    <w:rsid w:val="00263AD0"/>
    <w:rsid w:val="00286E01"/>
    <w:rsid w:val="002A5D9A"/>
    <w:rsid w:val="002C773B"/>
    <w:rsid w:val="002C79F8"/>
    <w:rsid w:val="002F6EC9"/>
    <w:rsid w:val="00333E07"/>
    <w:rsid w:val="00371779"/>
    <w:rsid w:val="00376AA6"/>
    <w:rsid w:val="003877CB"/>
    <w:rsid w:val="003D2922"/>
    <w:rsid w:val="0049234B"/>
    <w:rsid w:val="004C1EFC"/>
    <w:rsid w:val="004C497C"/>
    <w:rsid w:val="004D301A"/>
    <w:rsid w:val="00520032"/>
    <w:rsid w:val="0052093F"/>
    <w:rsid w:val="00537E4B"/>
    <w:rsid w:val="0056186B"/>
    <w:rsid w:val="00581A8B"/>
    <w:rsid w:val="005A29DB"/>
    <w:rsid w:val="005A671E"/>
    <w:rsid w:val="005B3D92"/>
    <w:rsid w:val="0060366B"/>
    <w:rsid w:val="006049B0"/>
    <w:rsid w:val="00607078"/>
    <w:rsid w:val="00620654"/>
    <w:rsid w:val="006603B7"/>
    <w:rsid w:val="00676AED"/>
    <w:rsid w:val="00692B14"/>
    <w:rsid w:val="006A653F"/>
    <w:rsid w:val="006B17FE"/>
    <w:rsid w:val="00711960"/>
    <w:rsid w:val="00717737"/>
    <w:rsid w:val="00744932"/>
    <w:rsid w:val="007472F0"/>
    <w:rsid w:val="007A1724"/>
    <w:rsid w:val="007B2506"/>
    <w:rsid w:val="007C3755"/>
    <w:rsid w:val="007E3C19"/>
    <w:rsid w:val="007F7804"/>
    <w:rsid w:val="00816C92"/>
    <w:rsid w:val="00821CBD"/>
    <w:rsid w:val="00862489"/>
    <w:rsid w:val="00867FC9"/>
    <w:rsid w:val="00874B75"/>
    <w:rsid w:val="008853F5"/>
    <w:rsid w:val="008B7109"/>
    <w:rsid w:val="008C4A5C"/>
    <w:rsid w:val="008E0D51"/>
    <w:rsid w:val="009362B9"/>
    <w:rsid w:val="00966ED0"/>
    <w:rsid w:val="00977099"/>
    <w:rsid w:val="009C776C"/>
    <w:rsid w:val="009D616E"/>
    <w:rsid w:val="009F25A4"/>
    <w:rsid w:val="00A65B49"/>
    <w:rsid w:val="00A67D97"/>
    <w:rsid w:val="00A73A0F"/>
    <w:rsid w:val="00A92B5E"/>
    <w:rsid w:val="00AA0971"/>
    <w:rsid w:val="00AD6A84"/>
    <w:rsid w:val="00AE47B5"/>
    <w:rsid w:val="00AF7A36"/>
    <w:rsid w:val="00B136D4"/>
    <w:rsid w:val="00B812C0"/>
    <w:rsid w:val="00BB69DD"/>
    <w:rsid w:val="00BF75DB"/>
    <w:rsid w:val="00C11D1B"/>
    <w:rsid w:val="00C13AE1"/>
    <w:rsid w:val="00C81CE3"/>
    <w:rsid w:val="00C87A0E"/>
    <w:rsid w:val="00C97DD8"/>
    <w:rsid w:val="00CD5230"/>
    <w:rsid w:val="00CF674F"/>
    <w:rsid w:val="00D15431"/>
    <w:rsid w:val="00D25F1F"/>
    <w:rsid w:val="00D47689"/>
    <w:rsid w:val="00DA6621"/>
    <w:rsid w:val="00DC75E8"/>
    <w:rsid w:val="00DF4CA1"/>
    <w:rsid w:val="00E75B76"/>
    <w:rsid w:val="00E858B6"/>
    <w:rsid w:val="00E85F3D"/>
    <w:rsid w:val="00EA22F4"/>
    <w:rsid w:val="00EB4B9D"/>
    <w:rsid w:val="00F036A0"/>
    <w:rsid w:val="00F4178C"/>
    <w:rsid w:val="00F63B89"/>
    <w:rsid w:val="00F74E15"/>
    <w:rsid w:val="00F75EEB"/>
    <w:rsid w:val="00F84AEA"/>
    <w:rsid w:val="00FC4136"/>
    <w:rsid w:val="00FC4D48"/>
    <w:rsid w:val="00FD7EA7"/>
    <w:rsid w:val="0AF94866"/>
    <w:rsid w:val="0B8C27EB"/>
    <w:rsid w:val="102B0279"/>
    <w:rsid w:val="16043E5F"/>
    <w:rsid w:val="1CDF6673"/>
    <w:rsid w:val="2B3A66EA"/>
    <w:rsid w:val="361D07D9"/>
    <w:rsid w:val="3A4F771E"/>
    <w:rsid w:val="49A42609"/>
    <w:rsid w:val="4A06055C"/>
    <w:rsid w:val="4D175E9E"/>
    <w:rsid w:val="4F974991"/>
    <w:rsid w:val="54887D4C"/>
    <w:rsid w:val="59ED74DA"/>
    <w:rsid w:val="635F5D36"/>
    <w:rsid w:val="650A2CD2"/>
    <w:rsid w:val="6ABB1EEC"/>
    <w:rsid w:val="6EEB5E9F"/>
    <w:rsid w:val="77514DBC"/>
    <w:rsid w:val="7BE620C3"/>
    <w:rsid w:val="7FCFE6F8"/>
    <w:rsid w:val="DB1D10CE"/>
    <w:rsid w:val="DB7E1F59"/>
    <w:rsid w:val="EFD95BCC"/>
    <w:rsid w:val="F7FF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nhideWhenUsed/>
    <w:qFormat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批注文字 Char"/>
    <w:basedOn w:val="8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4">
    <w:name w:val="批注主题 Char"/>
    <w:basedOn w:val="13"/>
    <w:link w:val="6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  <w:style w:type="paragraph" w:customStyle="1" w:styleId="15">
    <w:name w:val="修订1"/>
    <w:hidden/>
    <w:unhideWhenUsed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修订2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Revision"/>
    <w:hidden/>
    <w:unhideWhenUsed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335</Words>
  <Characters>1915</Characters>
  <Lines>15</Lines>
  <Paragraphs>4</Paragraphs>
  <TotalTime>125</TotalTime>
  <ScaleCrop>false</ScaleCrop>
  <LinksUpToDate>false</LinksUpToDate>
  <CharactersWithSpaces>2246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2025-08-15T19:53:00Z</dcterms:created>
  <dc:creator>科研处</dc:creator>
  <cp:lastModifiedBy>chenzd</cp:lastModifiedBy>
  <dcterms:modified xsi:type="dcterms:W3CDTF">2025-08-29T14:17:52Z</dcterms:modified>
  <cp:revision>337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eyJoZGlkIjoiOWNlNzU5YTI1ZDk0ZjAwZDUwOTg5OWQ0N2I4NWVkNzIiLCJ1c2VySWQiOiIxNTU0NzY2MTA1In0=</vt:lpwstr>
  </property>
  <property fmtid="{D5CDD505-2E9C-101B-9397-08002B2CF9AE}" pid="3" name="KSOProductBuildVer">
    <vt:lpwstr>2052-11.8.2.11929</vt:lpwstr>
  </property>
  <property fmtid="{D5CDD505-2E9C-101B-9397-08002B2CF9AE}" pid="4" name="ICV">
    <vt:lpwstr>A26739F1395C241171FCAC68361BBB35</vt:lpwstr>
  </property>
</Properties>
</file>